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4"/>
          <w:szCs w:val="34"/>
        </w:rPr>
        <w:t>附件1</w:t>
      </w:r>
    </w:p>
    <w:p>
      <w:pPr>
        <w:spacing w:before="312" w:beforeLines="100" w:after="312" w:afterLines="100" w:line="520" w:lineRule="exact"/>
        <w:ind w:left="-420" w:leftChars="-200" w:right="-420" w:rightChars="-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教育类研究生免试认定幼儿园、小学教师资格对应任教学科（试行）</w:t>
      </w:r>
    </w:p>
    <w:tbl>
      <w:tblPr>
        <w:tblStyle w:val="4"/>
        <w:tblW w:w="12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4"/>
        <w:gridCol w:w="3019"/>
        <w:gridCol w:w="1984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  <w:t>一级学科</w:t>
            </w:r>
          </w:p>
        </w:tc>
        <w:tc>
          <w:tcPr>
            <w:tcW w:w="30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  <w:t>二级学科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  <w:t>（专业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领域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  <w:t>任教学段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建议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  <w:t>任教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0401教育学</w:t>
            </w: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学前教育学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教育史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教育法学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其他学校自主设置的二级学科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0451教育</w:t>
            </w: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道德与法治/社会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道德与法治/社会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学科教学（音乐）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学科教学（体育）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体育/体育与健康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学科教学（美术）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信息技术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科学与技术教育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科学/信息技术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特殊教育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学前教育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学校课程与教学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学生发展与教育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教育领导与管理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0453汉语国际教育</w:t>
            </w: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</w:tbl>
    <w:p>
      <w:pPr>
        <w:spacing w:line="360" w:lineRule="exact"/>
        <w:ind w:firstLine="340" w:firstLineChars="10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4"/>
          <w:szCs w:val="34"/>
        </w:rPr>
        <w:t xml:space="preserve"> </w:t>
      </w:r>
      <w:r>
        <w:rPr>
          <w:rFonts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8"/>
        </w:rPr>
        <w:t>注：以幼儿园、小学教师为培养目标的公费师范生任教学段和任教学科参照执行。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BC"/>
    <w:rsid w:val="006117BC"/>
    <w:rsid w:val="009E5201"/>
    <w:rsid w:val="355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747</Characters>
  <Lines>6</Lines>
  <Paragraphs>1</Paragraphs>
  <TotalTime>1</TotalTime>
  <ScaleCrop>false</ScaleCrop>
  <LinksUpToDate>false</LinksUpToDate>
  <CharactersWithSpaces>877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2020-09-07T10:23:00Z</dcterms:created>
  <dc:creator>贝</dc:creator>
  <cp:lastModifiedBy>goveditor</cp:lastModifiedBy>
  <dcterms:modified xsi:type="dcterms:W3CDTF">2020-09-08T02:37:41Z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